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1744FABE" w:rsidR="00420A38" w:rsidRDefault="00420A38" w:rsidP="00811F06">
      <w:pPr>
        <w:pStyle w:val="Header"/>
        <w:tabs>
          <w:tab w:val="right" w:pos="5954"/>
        </w:tabs>
        <w:jc w:val="right"/>
        <w:rPr>
          <w:rFonts w:ascii="Calibri" w:hAnsi="Calibri"/>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6006B8">
        <w:rPr>
          <w:rFonts w:ascii="Calibri" w:hAnsi="Calibri"/>
          <w:color w:val="00558C"/>
          <w:sz w:val="24"/>
          <w:szCs w:val="24"/>
        </w:rPr>
        <w:t>VTS60-</w:t>
      </w:r>
      <w:r w:rsidR="006A6110">
        <w:rPr>
          <w:rFonts w:ascii="Calibri" w:hAnsi="Calibri"/>
          <w:color w:val="00558C"/>
          <w:sz w:val="24"/>
          <w:szCs w:val="24"/>
        </w:rPr>
        <w:t>6.2.3</w:t>
      </w:r>
    </w:p>
    <w:p w14:paraId="4C647C1B" w14:textId="22D7C4D7" w:rsidR="00941AAE" w:rsidRPr="00941AAE" w:rsidRDefault="00941AAE" w:rsidP="00811F06">
      <w:pPr>
        <w:pStyle w:val="Header"/>
        <w:tabs>
          <w:tab w:val="right" w:pos="5954"/>
        </w:tabs>
        <w:jc w:val="right"/>
        <w:rPr>
          <w:rFonts w:ascii="Calibri" w:eastAsia="Malgun Gothic" w:hAnsi="Calibri"/>
          <w:b/>
          <w:bCs/>
          <w:color w:val="00558C"/>
          <w:sz w:val="24"/>
          <w:szCs w:val="24"/>
          <w:lang w:eastAsia="ko-KR"/>
        </w:rPr>
      </w:pPr>
      <w:r w:rsidRPr="00941AAE">
        <w:rPr>
          <w:rFonts w:ascii="Calibri" w:eastAsia="Malgun Gothic" w:hAnsi="Calibri" w:hint="eastAsia"/>
          <w:b/>
          <w:bCs/>
          <w:color w:val="00558C"/>
          <w:sz w:val="24"/>
          <w:szCs w:val="24"/>
          <w:lang w:eastAsia="ko-KR"/>
        </w:rPr>
        <w:t>Date:</w:t>
      </w:r>
      <w:r>
        <w:rPr>
          <w:rFonts w:ascii="Calibri" w:eastAsia="Malgun Gothic" w:hAnsi="Calibri" w:hint="eastAsia"/>
          <w:color w:val="00558C"/>
          <w:sz w:val="24"/>
          <w:szCs w:val="24"/>
          <w:lang w:eastAsia="ko-KR"/>
        </w:rPr>
        <w:t xml:space="preserve"> </w:t>
      </w:r>
      <w:r w:rsidR="004A4A56">
        <w:rPr>
          <w:rFonts w:ascii="Calibri" w:eastAsia="Malgun Gothic" w:hAnsi="Calibri"/>
          <w:color w:val="00558C"/>
          <w:sz w:val="24"/>
          <w:szCs w:val="24"/>
          <w:lang w:eastAsia="ko-KR"/>
        </w:rPr>
        <w:t>21</w:t>
      </w:r>
      <w:r>
        <w:rPr>
          <w:rFonts w:ascii="Calibri" w:eastAsia="Malgun Gothic" w:hAnsi="Calibri" w:hint="eastAsia"/>
          <w:color w:val="00558C"/>
          <w:sz w:val="24"/>
          <w:szCs w:val="24"/>
          <w:lang w:eastAsia="ko-KR"/>
        </w:rPr>
        <w:t xml:space="preserve"> </w:t>
      </w:r>
      <w:r w:rsidR="004A4A56">
        <w:rPr>
          <w:rFonts w:ascii="Calibri" w:eastAsia="Malgun Gothic" w:hAnsi="Calibri"/>
          <w:color w:val="00558C"/>
          <w:sz w:val="24"/>
          <w:szCs w:val="24"/>
          <w:lang w:eastAsia="ko-KR"/>
        </w:rPr>
        <w:t>August</w:t>
      </w:r>
      <w:r>
        <w:rPr>
          <w:rFonts w:ascii="Calibri" w:eastAsia="Malgun Gothic" w:hAnsi="Calibri" w:hint="eastAsia"/>
          <w:color w:val="00558C"/>
          <w:sz w:val="24"/>
          <w:szCs w:val="24"/>
          <w:lang w:eastAsia="ko-KR"/>
        </w:rPr>
        <w:t xml:space="preserve"> 202</w:t>
      </w:r>
      <w:r w:rsidR="004A4A56">
        <w:rPr>
          <w:rFonts w:ascii="Calibri" w:eastAsia="Malgun Gothic" w:hAnsi="Calibri"/>
          <w:color w:val="00558C"/>
          <w:sz w:val="24"/>
          <w:szCs w:val="24"/>
          <w:lang w:eastAsia="ko-KR"/>
        </w:rPr>
        <w:t>6</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43A5DEE4"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6006B8">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44519B35" w:rsidR="0080294B" w:rsidRPr="00BE05C9" w:rsidRDefault="00000000"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Content>
          <w:r w:rsidR="00221E08" w:rsidRPr="00BE05C9">
            <w:rPr>
              <w:rFonts w:ascii="MS Gothic" w:eastAsia="MS Gothic" w:hAnsi="MS Gothic" w:cs="Arial" w:hint="eastAsia"/>
              <w:b/>
              <w:lang w:val="sv-SE"/>
            </w:rPr>
            <w:t>☐</w:t>
          </w:r>
        </w:sdtContent>
      </w:sdt>
      <w:r w:rsidR="0080294B" w:rsidRPr="00BE05C9">
        <w:rPr>
          <w:rFonts w:ascii="Calibri" w:hAnsi="Calibri" w:cs="Arial"/>
          <w:lang w:val="sv-SE"/>
        </w:rPr>
        <w:t xml:space="preserve"> ENAV</w:t>
      </w:r>
      <w:r w:rsidR="0080294B" w:rsidRPr="00BE05C9">
        <w:rPr>
          <w:rFonts w:ascii="Calibri" w:hAnsi="Calibri" w:cs="Arial"/>
          <w:b/>
          <w:lang w:val="sv-SE"/>
        </w:rPr>
        <w:tab/>
      </w:r>
      <w:sdt>
        <w:sdtPr>
          <w:rPr>
            <w:rFonts w:ascii="Calibri" w:hAnsi="Calibri" w:cs="Arial"/>
            <w:b/>
            <w:lang w:val="sv-SE"/>
          </w:rPr>
          <w:id w:val="1574472571"/>
          <w14:checkbox>
            <w14:checked w14:val="1"/>
            <w14:checkedState w14:val="2612" w14:font="MS Gothic"/>
            <w14:uncheckedState w14:val="2610" w14:font="MS Gothic"/>
          </w14:checkbox>
        </w:sdtPr>
        <w:sdtContent>
          <w:r w:rsidR="00A27C86">
            <w:rPr>
              <w:rFonts w:ascii="MS Gothic" w:eastAsia="MS Gothic" w:hAnsi="MS Gothic" w:cs="Arial" w:hint="eastAsia"/>
              <w:b/>
              <w:lang w:val="sv-SE"/>
            </w:rPr>
            <w:t>☒</w:t>
          </w:r>
        </w:sdtContent>
      </w:sdt>
      <w:r w:rsidR="0080294B" w:rsidRPr="00BE05C9">
        <w:rPr>
          <w:rFonts w:ascii="Calibri" w:hAnsi="Calibri" w:cs="Arial"/>
          <w:lang w:val="sv-SE"/>
        </w:rPr>
        <w:t xml:space="preserve"> </w:t>
      </w:r>
      <w:r w:rsidR="003D2DC1" w:rsidRPr="00BE05C9">
        <w:rPr>
          <w:rFonts w:ascii="Calibri" w:hAnsi="Calibri" w:cs="Arial"/>
          <w:lang w:val="sv-SE"/>
        </w:rPr>
        <w:t>VTS</w:t>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r w:rsidR="0080294B" w:rsidRPr="00BE05C9">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Content>
          <w:r w:rsidR="00110203" w:rsidRPr="00BE05C9">
            <w:rPr>
              <w:rFonts w:ascii="MS Gothic" w:eastAsia="MS Gothic" w:hAnsi="MS Gothic" w:cs="Arial" w:hint="eastAsia"/>
              <w:b/>
              <w:lang w:val="sv-SE"/>
            </w:rPr>
            <w:t>☐</w:t>
          </w:r>
        </w:sdtContent>
      </w:sdt>
      <w:r w:rsidR="00110203" w:rsidRPr="00BE05C9">
        <w:rPr>
          <w:rFonts w:ascii="Calibri" w:hAnsi="Calibri" w:cs="Arial"/>
          <w:lang w:val="sv-SE"/>
        </w:rPr>
        <w:t xml:space="preserve"> </w:t>
      </w:r>
      <w:r w:rsidR="0080294B" w:rsidRPr="00BE05C9">
        <w:rPr>
          <w:rFonts w:ascii="Calibri" w:hAnsi="Calibri" w:cs="Arial"/>
          <w:lang w:val="sv-SE"/>
        </w:rPr>
        <w:t>Information</w:t>
      </w:r>
    </w:p>
    <w:p w14:paraId="3E1C02C4" w14:textId="77777777" w:rsidR="0080294B" w:rsidRPr="00BE05C9" w:rsidRDefault="0080294B" w:rsidP="00FE5674">
      <w:pPr>
        <w:pStyle w:val="BodyText"/>
        <w:tabs>
          <w:tab w:val="left" w:pos="2835"/>
        </w:tabs>
        <w:rPr>
          <w:rFonts w:ascii="Calibri" w:hAnsi="Calibri"/>
          <w:lang w:val="sv-SE"/>
        </w:rPr>
      </w:pPr>
    </w:p>
    <w:p w14:paraId="4DD25FD9" w14:textId="69D635F8" w:rsidR="00A446C9" w:rsidRPr="00BE05C9" w:rsidRDefault="00A446C9" w:rsidP="00FE5674">
      <w:pPr>
        <w:pStyle w:val="BodyText"/>
        <w:tabs>
          <w:tab w:val="left" w:pos="2835"/>
        </w:tabs>
        <w:rPr>
          <w:rFonts w:ascii="Calibri" w:hAnsi="Calibri"/>
          <w:lang w:val="sv-SE"/>
        </w:rPr>
      </w:pPr>
      <w:r w:rsidRPr="00BE05C9">
        <w:rPr>
          <w:rFonts w:ascii="Calibri" w:hAnsi="Calibri"/>
          <w:b/>
          <w:bCs/>
          <w:color w:val="00558C"/>
          <w:sz w:val="24"/>
          <w:szCs w:val="24"/>
          <w:lang w:val="sv-SE"/>
        </w:rPr>
        <w:t>Agenda item</w:t>
      </w:r>
      <w:r w:rsidR="00037DF4" w:rsidRPr="00BE05C9">
        <w:rPr>
          <w:rFonts w:ascii="Calibri" w:hAnsi="Calibri"/>
          <w:lang w:val="sv-SE"/>
        </w:rPr>
        <w:t xml:space="preserve"> </w:t>
      </w:r>
      <w:r w:rsidR="00037DF4" w:rsidRPr="007A395D">
        <w:rPr>
          <w:rStyle w:val="FootnoteReference"/>
          <w:rFonts w:ascii="Calibri" w:hAnsi="Calibri"/>
          <w:sz w:val="22"/>
        </w:rPr>
        <w:footnoteReference w:id="2"/>
      </w:r>
      <w:r w:rsidR="001C44A3" w:rsidRPr="00BE05C9">
        <w:rPr>
          <w:rFonts w:ascii="Calibri" w:hAnsi="Calibri"/>
          <w:lang w:val="sv-SE"/>
        </w:rPr>
        <w:tab/>
      </w:r>
      <w:r w:rsidR="0080294B" w:rsidRPr="00BE05C9">
        <w:rPr>
          <w:rFonts w:ascii="Calibri" w:hAnsi="Calibri"/>
          <w:lang w:val="sv-SE"/>
        </w:rPr>
        <w:tab/>
      </w:r>
      <w:r w:rsidR="0080294B" w:rsidRPr="00BE05C9">
        <w:rPr>
          <w:rFonts w:ascii="Calibri" w:hAnsi="Calibri"/>
          <w:lang w:val="sv-SE"/>
        </w:rPr>
        <w:tab/>
      </w:r>
      <w:r w:rsidR="006A6110">
        <w:rPr>
          <w:rFonts w:ascii="Calibri" w:hAnsi="Calibri"/>
          <w:lang w:val="sv-SE"/>
        </w:rPr>
        <w:t>6.2</w:t>
      </w:r>
    </w:p>
    <w:p w14:paraId="181E70F7" w14:textId="77777777" w:rsidR="004A4A56" w:rsidRDefault="00362CD9" w:rsidP="004A4A56">
      <w:pPr>
        <w:pStyle w:val="BodyText"/>
        <w:tabs>
          <w:tab w:val="left" w:pos="2835"/>
        </w:tabs>
        <w:rPr>
          <w:rFonts w:ascii="Calibri" w:hAnsi="Calibri"/>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4A4A56">
        <w:rPr>
          <w:rFonts w:ascii="Calibri" w:hAnsi="Calibri"/>
        </w:rPr>
        <w:t>Finnish Transport Infrastructure Agency</w:t>
      </w:r>
    </w:p>
    <w:p w14:paraId="62E070B8" w14:textId="77777777" w:rsidR="004A4A56" w:rsidRDefault="004A4A56" w:rsidP="004A4A56">
      <w:pPr>
        <w:pStyle w:val="BodyText"/>
        <w:tabs>
          <w:tab w:val="left" w:pos="2835"/>
        </w:tabs>
        <w:rPr>
          <w:rFonts w:ascii="Calibri" w:hAnsi="Calibri"/>
        </w:rPr>
      </w:pPr>
      <w:r>
        <w:rPr>
          <w:rFonts w:ascii="Calibri" w:hAnsi="Calibri"/>
        </w:rPr>
        <w:tab/>
      </w:r>
      <w:r>
        <w:rPr>
          <w:rFonts w:ascii="Calibri" w:hAnsi="Calibri"/>
        </w:rPr>
        <w:tab/>
      </w:r>
      <w:r>
        <w:rPr>
          <w:rFonts w:ascii="Calibri" w:hAnsi="Calibri"/>
        </w:rPr>
        <w:tab/>
        <w:t>Transport and Communications Agency Traficom</w:t>
      </w:r>
    </w:p>
    <w:p w14:paraId="57513D80" w14:textId="77777777" w:rsidR="004A4A56" w:rsidRPr="007A395D" w:rsidRDefault="004A4A56" w:rsidP="004A4A56">
      <w:pPr>
        <w:pStyle w:val="BodyText"/>
        <w:tabs>
          <w:tab w:val="left" w:pos="2835"/>
        </w:tabs>
        <w:rPr>
          <w:rFonts w:ascii="Calibri" w:hAnsi="Calibri"/>
          <w:color w:val="FF0000"/>
        </w:rPr>
      </w:pPr>
      <w:r>
        <w:rPr>
          <w:rFonts w:ascii="Calibri" w:hAnsi="Calibri"/>
        </w:rPr>
        <w:tab/>
      </w:r>
      <w:r>
        <w:rPr>
          <w:rFonts w:ascii="Calibri" w:hAnsi="Calibri"/>
        </w:rPr>
        <w:tab/>
      </w:r>
      <w:r>
        <w:rPr>
          <w:rFonts w:ascii="Calibri" w:hAnsi="Calibri"/>
        </w:rPr>
        <w:tab/>
        <w:t>Fintraffic Vessel Traffic Services Ltd</w:t>
      </w:r>
    </w:p>
    <w:p w14:paraId="01FC5420" w14:textId="62B13E99" w:rsidR="00362CD9" w:rsidRPr="007A395D" w:rsidRDefault="00362CD9" w:rsidP="00FE5674">
      <w:pPr>
        <w:pStyle w:val="BodyText"/>
        <w:tabs>
          <w:tab w:val="left" w:pos="2835"/>
        </w:tabs>
        <w:rPr>
          <w:rFonts w:ascii="Calibri" w:hAnsi="Calibri"/>
          <w:color w:val="FF0000"/>
        </w:rPr>
      </w:pP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566D7379" w14:textId="77777777" w:rsidR="004A4A56" w:rsidRPr="00605E43" w:rsidRDefault="004A4A56" w:rsidP="004A4A56">
      <w:pPr>
        <w:pStyle w:val="Title"/>
      </w:pPr>
      <w:r>
        <w:t>DEVELOPMENT OF GUIDANCE ON DEMONSTRATING VTS PERFORMANCE, EFFECTIVENESS AND contribution</w:t>
      </w:r>
    </w:p>
    <w:p w14:paraId="3FF3CC03" w14:textId="77777777" w:rsidR="004A4A56" w:rsidRPr="00605E43" w:rsidRDefault="004A4A56" w:rsidP="004A4A56">
      <w:pPr>
        <w:pStyle w:val="Title"/>
        <w:jc w:val="left"/>
      </w:pPr>
    </w:p>
    <w:p w14:paraId="06E66DE1" w14:textId="77777777" w:rsidR="004A4A56" w:rsidRPr="009874F9" w:rsidRDefault="004A4A56" w:rsidP="004A4A56">
      <w:pPr>
        <w:pStyle w:val="Heading1"/>
      </w:pPr>
      <w:r>
        <w:t>Summary</w:t>
      </w:r>
    </w:p>
    <w:p w14:paraId="5111FB99" w14:textId="77777777" w:rsidR="004A4A56" w:rsidRPr="009B5741" w:rsidRDefault="004A4A56" w:rsidP="004A4A56">
      <w:pPr>
        <w:pStyle w:val="BodyText"/>
      </w:pPr>
      <w:r w:rsidRPr="009B5741">
        <w:t xml:space="preserve">This paper proposes the development of harmonised guidance for demonstrating the performance and </w:t>
      </w:r>
      <w:r>
        <w:t>contribution</w:t>
      </w:r>
      <w:r w:rsidRPr="009B5741">
        <w:t xml:space="preserve"> of Vessel Traffic Services (VTS).</w:t>
      </w:r>
    </w:p>
    <w:p w14:paraId="39EDF287" w14:textId="77777777" w:rsidR="004A4A56" w:rsidRPr="003644C0" w:rsidRDefault="004A4A56" w:rsidP="004A4A56">
      <w:pPr>
        <w:pStyle w:val="BodyText"/>
      </w:pPr>
      <w:r w:rsidRPr="003644C0">
        <w:t xml:space="preserve">Existing IALA documents already address important parts of VTS performance assurance. G1131 covers the setting and measurement of VTS objectives; G1167 places operational objectives and key performance measures within management and continuous improvement; G1101 and R1013 address auditing and assessment; G1118 addresses casualty, incident and near-miss reporting; the G1111 series addresses technical performance; and G1198 addresses the responsibilities of the competent authority, authorization and assessment. </w:t>
      </w:r>
    </w:p>
    <w:p w14:paraId="787DE5A1" w14:textId="77777777" w:rsidR="004A4A56" w:rsidRPr="003644C0" w:rsidRDefault="004A4A56" w:rsidP="004A4A56">
      <w:pPr>
        <w:pStyle w:val="BodyText"/>
      </w:pPr>
      <w:r w:rsidRPr="003644C0">
        <w:t>The principal gap is therefore not the absence of performance-related guidance, but the absence of a common performance-assurance framework connecting these elements. The proposed work would clarify how regulatory and authorization requirements are translated into measurable operational objectives and performance expectations, how indicators and other evidence are specified and interpreted, and how performance information is used to support assessment and demonstrate VTS effectiveness and contribution.</w:t>
      </w:r>
    </w:p>
    <w:p w14:paraId="10DF415C" w14:textId="77777777" w:rsidR="004A4A56" w:rsidRPr="003644C0" w:rsidRDefault="004A4A56" w:rsidP="004A4A56">
      <w:pPr>
        <w:pStyle w:val="BodyText"/>
      </w:pPr>
      <w:r w:rsidRPr="003644C0">
        <w:t>The framework could be developed as a new IALA Guideline, through amendments to existing Guidelines, or through a combination of both.</w:t>
      </w:r>
    </w:p>
    <w:p w14:paraId="5FDB213D" w14:textId="77777777" w:rsidR="004A4A56" w:rsidRPr="00605E43" w:rsidRDefault="004A4A56" w:rsidP="004A4A56">
      <w:pPr>
        <w:pStyle w:val="Heading2"/>
      </w:pPr>
      <w:r w:rsidRPr="00605E43">
        <w:t>Purpose of the document</w:t>
      </w:r>
      <w:r>
        <w:t xml:space="preserve"> </w:t>
      </w:r>
    </w:p>
    <w:p w14:paraId="7497118D" w14:textId="77777777" w:rsidR="004A4A56" w:rsidRPr="009B5741" w:rsidRDefault="004A4A56" w:rsidP="004A4A56">
      <w:pPr>
        <w:pStyle w:val="BodyText"/>
      </w:pPr>
      <w:r w:rsidRPr="009B5741">
        <w:t>The purpose of this paper is to invite the Committee to establish a task to develop harmonised guidance on demonstrating VTS performance, effectiveness and contribution.</w:t>
      </w:r>
    </w:p>
    <w:p w14:paraId="628939BE" w14:textId="77777777" w:rsidR="004A4A56" w:rsidRPr="003644C0" w:rsidRDefault="004A4A56" w:rsidP="004A4A56">
      <w:pPr>
        <w:pStyle w:val="BodyText"/>
      </w:pPr>
      <w:r w:rsidRPr="003644C0">
        <w:lastRenderedPageBreak/>
        <w:t>The guidance would assist competent authorities and VTS providers in establishing clear and assessable performance expectations, measurable operational objectives, suitable indicators and verifiable evidence to demonstrate that the VTS is operating as intended and contributing to safety, efficiency and environmental protection.</w:t>
      </w:r>
    </w:p>
    <w:p w14:paraId="4579210A" w14:textId="77777777" w:rsidR="004A4A56" w:rsidRPr="007A395D" w:rsidRDefault="004A4A56" w:rsidP="004A4A56">
      <w:pPr>
        <w:pStyle w:val="Heading2"/>
      </w:pPr>
      <w:r w:rsidRPr="007A395D">
        <w:t>Related documents</w:t>
      </w:r>
    </w:p>
    <w:p w14:paraId="52F54F81" w14:textId="77777777" w:rsidR="004A4A56" w:rsidRDefault="004A4A56" w:rsidP="004A4A56">
      <w:pPr>
        <w:pStyle w:val="Bullet1"/>
        <w:ind w:left="360" w:hanging="360"/>
      </w:pPr>
      <w:r>
        <w:t>IMO Resolution A.1158(32), Guidelines for Vessel Traffic Services.</w:t>
      </w:r>
    </w:p>
    <w:p w14:paraId="27F7DDA8" w14:textId="77777777" w:rsidR="004A4A56" w:rsidRDefault="004A4A56" w:rsidP="004A4A56">
      <w:pPr>
        <w:pStyle w:val="Bullet1"/>
        <w:ind w:left="360" w:hanging="360"/>
      </w:pPr>
      <w:r>
        <w:t>IALA Standard S1040, Vessel Traffic Services.</w:t>
      </w:r>
    </w:p>
    <w:p w14:paraId="6AFF4F0B" w14:textId="77777777" w:rsidR="004A4A56" w:rsidRDefault="004A4A56" w:rsidP="004A4A56">
      <w:pPr>
        <w:pStyle w:val="Bullet1"/>
        <w:ind w:left="360" w:hanging="360"/>
      </w:pPr>
      <w:r>
        <w:t>IALA Recommendation R1013, Auditing and Assessing Vessel Traffic Services.</w:t>
      </w:r>
    </w:p>
    <w:p w14:paraId="5F88511B" w14:textId="77777777" w:rsidR="004A4A56" w:rsidRDefault="004A4A56" w:rsidP="004A4A56">
      <w:pPr>
        <w:pStyle w:val="Bullet1"/>
        <w:ind w:left="360" w:hanging="360"/>
      </w:pPr>
      <w:r>
        <w:t>IALA Guideline G1089, Provision of a VTS.</w:t>
      </w:r>
    </w:p>
    <w:p w14:paraId="0B9C593F" w14:textId="77777777" w:rsidR="004A4A56" w:rsidRDefault="004A4A56" w:rsidP="004A4A56">
      <w:pPr>
        <w:pStyle w:val="Bullet1"/>
        <w:ind w:left="360" w:hanging="360"/>
      </w:pPr>
      <w:r>
        <w:t>IALA Guideline G1101, Auditing and Assessing a VTS.</w:t>
      </w:r>
    </w:p>
    <w:p w14:paraId="08187099" w14:textId="77777777" w:rsidR="004A4A56" w:rsidRDefault="004A4A56" w:rsidP="004A4A56">
      <w:pPr>
        <w:pStyle w:val="Bullet1"/>
        <w:ind w:left="360" w:hanging="360"/>
      </w:pPr>
      <w:r>
        <w:t>IALA Guideline G1118, Marine Casualty / Incident Reporting and Recording, Including Near-miss Situations as it Relates to a VTS.</w:t>
      </w:r>
    </w:p>
    <w:p w14:paraId="2CA46597" w14:textId="77777777" w:rsidR="004A4A56" w:rsidRDefault="004A4A56" w:rsidP="004A4A56">
      <w:pPr>
        <w:pStyle w:val="Bullet1"/>
        <w:ind w:left="360" w:hanging="360"/>
      </w:pPr>
      <w:r>
        <w:t>IALA Guideline G1131, Setting and Measuring VTS Objectives.</w:t>
      </w:r>
    </w:p>
    <w:p w14:paraId="39DA1AB0" w14:textId="77777777" w:rsidR="004A4A56" w:rsidRPr="00E67021" w:rsidRDefault="004A4A56" w:rsidP="004A4A56">
      <w:pPr>
        <w:pStyle w:val="Bullet1"/>
        <w:ind w:left="360" w:hanging="360"/>
        <w:rPr>
          <w:lang w:val="fr-FR"/>
        </w:rPr>
      </w:pPr>
      <w:r w:rsidRPr="00E67021">
        <w:rPr>
          <w:lang w:val="fr-FR"/>
        </w:rPr>
        <w:t>IALA Guideline G1167, VTS Management.</w:t>
      </w:r>
    </w:p>
    <w:p w14:paraId="7F3E9AB0" w14:textId="77777777" w:rsidR="004A4A56" w:rsidRDefault="004A4A56" w:rsidP="004A4A56">
      <w:pPr>
        <w:pStyle w:val="Bullet1"/>
        <w:ind w:left="360" w:hanging="360"/>
      </w:pPr>
      <w:r>
        <w:t>IALA Guideline G1198, Establishing a Regulatory Framework for VTS - Responsibilities of a Competent Authority.</w:t>
      </w:r>
    </w:p>
    <w:p w14:paraId="1FC16074" w14:textId="77777777" w:rsidR="004A4A56" w:rsidRDefault="004A4A56" w:rsidP="004A4A56">
      <w:pPr>
        <w:pStyle w:val="Bullet1"/>
        <w:ind w:left="360" w:hanging="360"/>
      </w:pPr>
      <w:r>
        <w:t>Report on the Workshop on VTS Competent Authorities, Rome, 2025.</w:t>
      </w:r>
    </w:p>
    <w:p w14:paraId="589E0833" w14:textId="77777777" w:rsidR="004A4A56" w:rsidRDefault="004A4A56" w:rsidP="004A4A56">
      <w:pPr>
        <w:pStyle w:val="Bullet1"/>
        <w:ind w:left="360" w:hanging="360"/>
      </w:pPr>
      <w:r>
        <w:t>Report on the Seminar on VTS Experiences and Challenges, Gijón, 2026.</w:t>
      </w:r>
    </w:p>
    <w:p w14:paraId="41AD5FFF" w14:textId="77777777" w:rsidR="004A4A56" w:rsidRPr="007A395D" w:rsidRDefault="004A4A56" w:rsidP="004A4A56">
      <w:pPr>
        <w:pStyle w:val="Heading1"/>
      </w:pPr>
      <w:r w:rsidRPr="007A395D">
        <w:t>Background</w:t>
      </w:r>
    </w:p>
    <w:p w14:paraId="3348A0D0" w14:textId="77777777" w:rsidR="004A4A56" w:rsidRPr="003644C0" w:rsidRDefault="004A4A56" w:rsidP="004A4A56">
      <w:pPr>
        <w:pStyle w:val="BodyText"/>
      </w:pPr>
      <w:r w:rsidRPr="003644C0">
        <w:t xml:space="preserve">IMO Resolution A.1158(32) defines the purpose of VTS and the responsibilities of Contracting Governments, competent authorities and VTS providers. The competent authority establishes the regulatory and oversight arrangements for VTS and may set authorization conditions and additional requirements. The VTS provider delivers the service, sets operational objectives consistent with the applicable requirements and regularly evaluates whether those objectives are being achieved. This division is also reflected in current IALA guidance on competent-authority responsibilities and VTS management. </w:t>
      </w:r>
    </w:p>
    <w:p w14:paraId="044E29FA" w14:textId="77777777" w:rsidR="004A4A56" w:rsidRPr="003644C0" w:rsidRDefault="004A4A56" w:rsidP="004A4A56">
      <w:pPr>
        <w:pStyle w:val="BodyText"/>
      </w:pPr>
      <w:r w:rsidRPr="003644C0">
        <w:t>These responsibilities require performance expectations and results to be clear and assessable. A consistent approach to linking requirements, operational objectives, performance information and assessment can support effective oversight</w:t>
      </w:r>
      <w:r>
        <w:t xml:space="preserve">, continuous improvement </w:t>
      </w:r>
      <w:r w:rsidRPr="003644C0">
        <w:t>and the harmonised implementation of VTS.</w:t>
      </w:r>
    </w:p>
    <w:p w14:paraId="45AD0A33" w14:textId="77777777" w:rsidR="004A4A56" w:rsidRPr="007A395D" w:rsidRDefault="004A4A56" w:rsidP="004A4A56">
      <w:pPr>
        <w:pStyle w:val="Heading1"/>
      </w:pPr>
      <w:r w:rsidRPr="007A395D">
        <w:t>Discussion</w:t>
      </w:r>
    </w:p>
    <w:p w14:paraId="1A6D3114" w14:textId="77777777" w:rsidR="004A4A56" w:rsidRDefault="004A4A56" w:rsidP="004A4A56">
      <w:pPr>
        <w:pStyle w:val="Heading2"/>
      </w:pPr>
      <w:r>
        <w:t>Roles and responsibilities</w:t>
      </w:r>
    </w:p>
    <w:p w14:paraId="6A008AFA" w14:textId="77777777" w:rsidR="004A4A56" w:rsidRDefault="004A4A56" w:rsidP="004A4A56">
      <w:pPr>
        <w:pStyle w:val="BodyText"/>
      </w:pPr>
      <w:r>
        <w:t>Performance assurance should reflect the respective roles of the competent authority and the VTS provider. The competent authority should ensure that regulatory requirements, authorization conditions and any additional performance expectations are clear and assessable, and that arrangements exist for oversight, audit and assessment. The VTS provider should set measurable operational objectives, select suitable indicators and other evidence, monitor performance and risk, maintain verifiable records, report results and address identified improvement needs.</w:t>
      </w:r>
    </w:p>
    <w:p w14:paraId="31E09A4C" w14:textId="77777777" w:rsidR="004A4A56" w:rsidRDefault="004A4A56" w:rsidP="004A4A56">
      <w:pPr>
        <w:pStyle w:val="Heading2"/>
      </w:pPr>
      <w:r>
        <w:lastRenderedPageBreak/>
        <w:t>Identified need</w:t>
      </w:r>
    </w:p>
    <w:p w14:paraId="108C2AA8" w14:textId="77777777" w:rsidR="004A4A56" w:rsidRPr="00B41749" w:rsidRDefault="004A4A56" w:rsidP="004A4A56">
      <w:pPr>
        <w:pStyle w:val="BodyText"/>
      </w:pPr>
      <w:r w:rsidRPr="00B41749">
        <w:t xml:space="preserve">Existing IALA documents already address important parts of VTS performance </w:t>
      </w:r>
      <w:r>
        <w:t>assurance</w:t>
      </w:r>
      <w:r w:rsidRPr="00B41749">
        <w:t xml:space="preserve">. </w:t>
      </w:r>
      <w:r w:rsidRPr="00D8450A">
        <w:t>G1131</w:t>
      </w:r>
      <w:r w:rsidRPr="00B41749">
        <w:t xml:space="preserve"> covers the setting and measurement of VTS objectives. </w:t>
      </w:r>
      <w:r w:rsidRPr="00D8450A">
        <w:t>G1167</w:t>
      </w:r>
      <w:r w:rsidRPr="00B41749">
        <w:t xml:space="preserve"> </w:t>
      </w:r>
      <w:r w:rsidRPr="00F97CE5">
        <w:t>places operational objectives and key performance measures within management and continuous improvement</w:t>
      </w:r>
      <w:r w:rsidRPr="00B41749">
        <w:t xml:space="preserve">. </w:t>
      </w:r>
      <w:r w:rsidRPr="00D8450A">
        <w:t>G1101</w:t>
      </w:r>
      <w:r w:rsidRPr="00B41749">
        <w:t xml:space="preserve"> and </w:t>
      </w:r>
      <w:r w:rsidRPr="00D8450A">
        <w:t>R1013</w:t>
      </w:r>
      <w:r w:rsidRPr="00B41749">
        <w:t xml:space="preserve"> address auditing and assessment, </w:t>
      </w:r>
      <w:r w:rsidRPr="00D8450A">
        <w:t>G1118</w:t>
      </w:r>
      <w:r w:rsidRPr="00B41749">
        <w:t xml:space="preserve"> addresses casualty, incident and near-miss reporting, the G1111 series addresses technical performance, and </w:t>
      </w:r>
      <w:r w:rsidRPr="00D8450A">
        <w:t>G1198</w:t>
      </w:r>
      <w:r w:rsidRPr="00B41749">
        <w:t xml:space="preserve"> addresses the responsibilities of the competent authority, authorization and assessment.</w:t>
      </w:r>
    </w:p>
    <w:p w14:paraId="6C4D28B9" w14:textId="77777777" w:rsidR="004A4A56" w:rsidRPr="00B41749" w:rsidRDefault="004A4A56" w:rsidP="004A4A56">
      <w:pPr>
        <w:pStyle w:val="BodyText"/>
      </w:pPr>
      <w:r w:rsidRPr="001A4685">
        <w:t>However, there is no common framework connecting these elements. Existing guidance does not clearly show how regulatory and authorization requirements should be translated into measurable operational objectives and performance expectations, how indicators and evidence should be defined and interpreted, or how performance information should be used in assessment and to demonstrate VTS effectiveness and contribution.</w:t>
      </w:r>
    </w:p>
    <w:p w14:paraId="67203C2A" w14:textId="77777777" w:rsidR="004A4A56" w:rsidRPr="0044043F" w:rsidRDefault="004A4A56" w:rsidP="004A4A56">
      <w:pPr>
        <w:pStyle w:val="BodyText"/>
        <w:rPr>
          <w:lang w:val="en-US"/>
        </w:rPr>
      </w:pPr>
      <w:r w:rsidRPr="0044043F">
        <w:rPr>
          <w:lang w:val="en-US"/>
        </w:rPr>
        <w:t>A common performance-assurance framework would provide competent authorities and VTS providers with a consistent basis for defining expectations, selecting and interpreting indicators, assessing results and addressing differing interpretations. It would support more consistent and harmonised approaches to demonstrating and assessing VTS performance.</w:t>
      </w:r>
    </w:p>
    <w:p w14:paraId="5AB0F3F1" w14:textId="77777777" w:rsidR="004A4A56" w:rsidRPr="0044043F" w:rsidRDefault="004A4A56" w:rsidP="004A4A56">
      <w:pPr>
        <w:pStyle w:val="BodyText"/>
        <w:rPr>
          <w:lang w:val="en-US"/>
        </w:rPr>
      </w:pPr>
      <w:r w:rsidRPr="0044043F">
        <w:rPr>
          <w:lang w:val="en-US"/>
        </w:rPr>
        <w:t xml:space="preserve">Recent IALA events have also identified a need to better demonstrate the positive effects of VTS. The 2025 Workshop on VTS Competent Authorities called for guidance on demonstrating how VTS reduces casualties, incidents and near misses, while the 2026 Seminar on VTS Experiences and Challenges called for approaches to measure the impact of VTS. </w:t>
      </w:r>
    </w:p>
    <w:p w14:paraId="518B58D7" w14:textId="77777777" w:rsidR="004A4A56" w:rsidRDefault="004A4A56" w:rsidP="004A4A56">
      <w:pPr>
        <w:pStyle w:val="BodyText"/>
        <w:rPr>
          <w:lang w:val="en-US"/>
        </w:rPr>
      </w:pPr>
      <w:r>
        <w:rPr>
          <w:lang w:val="en-US"/>
        </w:rPr>
        <w:t>A case study</w:t>
      </w:r>
      <w:r w:rsidRPr="0044043F">
        <w:rPr>
          <w:lang w:val="en-US"/>
        </w:rPr>
        <w:t xml:space="preserve"> on Nordic VTS indicator frameworks shows that countries measure many similar areas but use different terminology, classifications, calculation methods, targets and reporting practices. Safety-related processes are measured most widely, while traffic efficiency and environmental effects are generally measured indirectly. </w:t>
      </w:r>
    </w:p>
    <w:p w14:paraId="69DC0659" w14:textId="77777777" w:rsidR="004A4A56" w:rsidRPr="0044043F" w:rsidRDefault="004A4A56" w:rsidP="004A4A56">
      <w:pPr>
        <w:pStyle w:val="BodyText"/>
        <w:rPr>
          <w:lang w:val="en-US"/>
        </w:rPr>
      </w:pPr>
      <w:r w:rsidRPr="0044043F">
        <w:rPr>
          <w:lang w:val="en-US"/>
        </w:rPr>
        <w:t>Harmonisation therefore appears most realistic through common concepts, definitions, measurement principles and calculation rules</w:t>
      </w:r>
      <w:r>
        <w:rPr>
          <w:lang w:val="en-US"/>
        </w:rPr>
        <w:t xml:space="preserve">, </w:t>
      </w:r>
      <w:r w:rsidRPr="003E08BA">
        <w:t>supporting greater consistency, comparability and the exchange of good practices</w:t>
      </w:r>
      <w:r w:rsidRPr="0044043F">
        <w:rPr>
          <w:lang w:val="en-US"/>
        </w:rPr>
        <w:t>. The work could also consider common minimum measurement areas</w:t>
      </w:r>
      <w:r>
        <w:rPr>
          <w:lang w:val="en-US"/>
        </w:rPr>
        <w:t xml:space="preserve"> and, where justified, a limited set</w:t>
      </w:r>
      <w:r w:rsidRPr="0044043F">
        <w:rPr>
          <w:lang w:val="en-US"/>
        </w:rPr>
        <w:t xml:space="preserve"> or core indicators</w:t>
      </w:r>
      <w:r>
        <w:rPr>
          <w:lang w:val="en-US"/>
        </w:rPr>
        <w:t xml:space="preserve">, together with </w:t>
      </w:r>
      <w:r w:rsidRPr="0044043F">
        <w:rPr>
          <w:lang w:val="en-US"/>
        </w:rPr>
        <w:t xml:space="preserve">principles for setting thresholds or target levels. Numerical values would normally be determined by </w:t>
      </w:r>
      <w:r>
        <w:rPr>
          <w:lang w:val="en-US"/>
        </w:rPr>
        <w:t>the competent</w:t>
      </w:r>
      <w:r w:rsidRPr="0044043F">
        <w:rPr>
          <w:lang w:val="en-US"/>
        </w:rPr>
        <w:t xml:space="preserve"> authority, taking account of local risks, operational requirements and the purpose of the VTS.</w:t>
      </w:r>
    </w:p>
    <w:p w14:paraId="38EC60CB" w14:textId="77777777" w:rsidR="004A4A56" w:rsidRDefault="004A4A56" w:rsidP="004A4A56">
      <w:pPr>
        <w:pStyle w:val="Heading2"/>
      </w:pPr>
      <w:r>
        <w:t>Possible content of the work</w:t>
      </w:r>
    </w:p>
    <w:p w14:paraId="5F4A2B21" w14:textId="77777777" w:rsidR="004A4A56" w:rsidRDefault="004A4A56" w:rsidP="004A4A56">
      <w:pPr>
        <w:pStyle w:val="BodyText"/>
      </w:pPr>
      <w:r>
        <w:t>The proposed work could consider:</w:t>
      </w:r>
    </w:p>
    <w:p w14:paraId="3B657398" w14:textId="77777777" w:rsidR="004A4A56" w:rsidRPr="00A11CE8" w:rsidRDefault="004A4A56" w:rsidP="004A4A56">
      <w:pPr>
        <w:pStyle w:val="Bullet1"/>
        <w:ind w:left="360" w:hanging="360"/>
        <w:rPr>
          <w:lang w:val="en-US"/>
        </w:rPr>
      </w:pPr>
      <w:r w:rsidRPr="00A11CE8">
        <w:rPr>
          <w:lang w:val="en-US"/>
        </w:rPr>
        <w:t>common terminology and interpretation necessary for VTS performance assurance, including conformity, capability, service level, availability, performance, effectiveness, contribution, indicators and objective evidence;</w:t>
      </w:r>
    </w:p>
    <w:p w14:paraId="3E10698F" w14:textId="77777777" w:rsidR="004A4A56" w:rsidRPr="006848BC" w:rsidRDefault="004A4A56" w:rsidP="004A4A56">
      <w:pPr>
        <w:pStyle w:val="Bullet1"/>
        <w:ind w:left="360" w:hanging="360"/>
        <w:rPr>
          <w:lang w:val="en-US"/>
        </w:rPr>
      </w:pPr>
      <w:r w:rsidRPr="0044043F">
        <w:rPr>
          <w:lang w:val="en-US"/>
        </w:rPr>
        <w:t>a traceable framework linking the purpose of VTS, identified risks, regulatory and authorization requirements, operational objectives, service-level expectations, indicators</w:t>
      </w:r>
      <w:r>
        <w:rPr>
          <w:lang w:val="en-US"/>
        </w:rPr>
        <w:t xml:space="preserve">, </w:t>
      </w:r>
      <w:r w:rsidRPr="0044043F">
        <w:rPr>
          <w:lang w:val="en-US"/>
        </w:rPr>
        <w:t>evidence</w:t>
      </w:r>
      <w:r>
        <w:rPr>
          <w:lang w:val="en-US"/>
        </w:rPr>
        <w:t>, reporting and assessment</w:t>
      </w:r>
      <w:r w:rsidRPr="0044043F">
        <w:rPr>
          <w:lang w:val="en-US"/>
        </w:rPr>
        <w:t>;</w:t>
      </w:r>
    </w:p>
    <w:p w14:paraId="16AE568A" w14:textId="77777777" w:rsidR="004A4A56" w:rsidRPr="006848BC" w:rsidRDefault="004A4A56" w:rsidP="004A4A56">
      <w:pPr>
        <w:pStyle w:val="Bullet1"/>
        <w:ind w:left="360" w:hanging="360"/>
        <w:rPr>
          <w:lang w:val="en-US"/>
        </w:rPr>
      </w:pPr>
      <w:r w:rsidRPr="0044043F">
        <w:rPr>
          <w:lang w:val="en-US"/>
        </w:rPr>
        <w:t xml:space="preserve">clarification of the respective roles of competent authorities and VTS providers </w:t>
      </w:r>
      <w:r>
        <w:rPr>
          <w:lang w:val="en-US"/>
        </w:rPr>
        <w:t xml:space="preserve">in </w:t>
      </w:r>
      <w:r w:rsidRPr="0044043F">
        <w:rPr>
          <w:lang w:val="en-US"/>
        </w:rPr>
        <w:t>defining, monitoring, reporting and assessing performance expectations;</w:t>
      </w:r>
    </w:p>
    <w:p w14:paraId="393A9977" w14:textId="77777777" w:rsidR="004A4A56" w:rsidRPr="006E0E10" w:rsidRDefault="004A4A56" w:rsidP="004A4A56">
      <w:pPr>
        <w:pStyle w:val="Bullet1"/>
        <w:ind w:left="360" w:hanging="360"/>
        <w:rPr>
          <w:lang w:val="en-US"/>
        </w:rPr>
      </w:pPr>
      <w:r w:rsidRPr="006E0E10">
        <w:rPr>
          <w:lang w:val="en-US"/>
        </w:rPr>
        <w:t>common minimum measurement areas and, where justified, a limited set of core indicators;</w:t>
      </w:r>
    </w:p>
    <w:p w14:paraId="181E3FF4" w14:textId="77777777" w:rsidR="004A4A56" w:rsidRPr="0044043F" w:rsidRDefault="004A4A56" w:rsidP="004A4A56">
      <w:pPr>
        <w:pStyle w:val="Bullet1"/>
        <w:ind w:left="360" w:hanging="360"/>
        <w:rPr>
          <w:lang w:val="en-US"/>
        </w:rPr>
      </w:pPr>
      <w:r w:rsidRPr="0044043F">
        <w:rPr>
          <w:lang w:val="en-US"/>
        </w:rPr>
        <w:t>common principles for defining indicators and other performance evidence, including purpose, calculation method, data source, ownership, reporting frequency, normalization and verification</w:t>
      </w:r>
      <w:r>
        <w:rPr>
          <w:lang w:val="en-US"/>
        </w:rPr>
        <w:t>;</w:t>
      </w:r>
    </w:p>
    <w:p w14:paraId="5B881F53" w14:textId="77777777" w:rsidR="004A4A56" w:rsidRPr="0044043F" w:rsidRDefault="004A4A56" w:rsidP="004A4A56">
      <w:pPr>
        <w:pStyle w:val="Bullet1"/>
        <w:ind w:left="360" w:hanging="360"/>
        <w:rPr>
          <w:lang w:val="en-US"/>
        </w:rPr>
      </w:pPr>
      <w:r w:rsidRPr="0044043F">
        <w:rPr>
          <w:lang w:val="en-US"/>
        </w:rPr>
        <w:t xml:space="preserve">guidance for establishing locally appropriate targets, thresholds or performance bands and principles for interpreting the results; </w:t>
      </w:r>
    </w:p>
    <w:p w14:paraId="10268906" w14:textId="77777777" w:rsidR="004A4A56" w:rsidRPr="0044043F" w:rsidRDefault="004A4A56" w:rsidP="004A4A56">
      <w:pPr>
        <w:pStyle w:val="Bullet1"/>
        <w:ind w:left="360" w:hanging="360"/>
        <w:rPr>
          <w:lang w:val="en-US"/>
        </w:rPr>
      </w:pPr>
      <w:r w:rsidRPr="0044043F">
        <w:rPr>
          <w:lang w:val="en-US"/>
        </w:rPr>
        <w:t xml:space="preserve">principles for selecting, interpreting and using quantitative and qualitative performance evidence in reporting, management, audit, assessment and continuous improvement; and </w:t>
      </w:r>
    </w:p>
    <w:p w14:paraId="316364CD" w14:textId="77777777" w:rsidR="004A4A56" w:rsidRPr="0044043F" w:rsidRDefault="004A4A56" w:rsidP="004A4A56">
      <w:pPr>
        <w:pStyle w:val="Bullet1"/>
        <w:ind w:left="360" w:hanging="360"/>
        <w:rPr>
          <w:lang w:val="en-US"/>
        </w:rPr>
      </w:pPr>
      <w:r>
        <w:rPr>
          <w:lang w:val="en-US"/>
        </w:rPr>
        <w:lastRenderedPageBreak/>
        <w:t>p</w:t>
      </w:r>
      <w:r w:rsidRPr="006E0E10">
        <w:rPr>
          <w:lang w:val="en-US"/>
        </w:rPr>
        <w:t>rinciples for assessing and demonstrating VTS effectiveness, contribution and added value in achieving safety, efficiency and environmental protection objectives.</w:t>
      </w:r>
    </w:p>
    <w:p w14:paraId="4D1EDA19" w14:textId="77777777" w:rsidR="004A4A56" w:rsidRDefault="004A4A56" w:rsidP="004A4A56">
      <w:pPr>
        <w:pStyle w:val="Heading2"/>
      </w:pPr>
      <w:r>
        <w:t xml:space="preserve">Coordination </w:t>
      </w:r>
      <w:r w:rsidRPr="002B57B5">
        <w:t>WITH OTHER COMMITTEES AND WORKING GROUPS</w:t>
      </w:r>
    </w:p>
    <w:p w14:paraId="33A1D1D1" w14:textId="77777777" w:rsidR="004A4A56" w:rsidRDefault="004A4A56" w:rsidP="004A4A56">
      <w:pPr>
        <w:pStyle w:val="BodyText"/>
      </w:pPr>
      <w:r w:rsidRPr="002B57B5">
        <w:t xml:space="preserve">The work should be coordinated, as appropriate, with relevant IALA committees and working groups. In particular, VTS WG3 should </w:t>
      </w:r>
      <w:r>
        <w:t xml:space="preserve">be kept informed to </w:t>
      </w:r>
      <w:r w:rsidRPr="002B57B5">
        <w:t>ensure alignment on matters relating to personnel competence and training.</w:t>
      </w:r>
    </w:p>
    <w:p w14:paraId="61FB0582" w14:textId="77777777" w:rsidR="004A4A56" w:rsidRDefault="004A4A56" w:rsidP="004A4A56">
      <w:pPr>
        <w:pStyle w:val="Heading2"/>
      </w:pPr>
      <w:r>
        <w:t>Possible output</w:t>
      </w:r>
    </w:p>
    <w:p w14:paraId="760F2A1C" w14:textId="77777777" w:rsidR="004A4A56" w:rsidRPr="00B41749" w:rsidRDefault="004A4A56" w:rsidP="004A4A56">
      <w:pPr>
        <w:pStyle w:val="BodyText"/>
      </w:pPr>
      <w:r w:rsidRPr="00B41749">
        <w:t xml:space="preserve">The task should first review existing IALA documents </w:t>
      </w:r>
      <w:r>
        <w:t>and current practices to</w:t>
      </w:r>
      <w:r w:rsidRPr="00B41749">
        <w:t xml:space="preserve"> identify any remaining gap</w:t>
      </w:r>
      <w:r>
        <w:t xml:space="preserve">s </w:t>
      </w:r>
      <w:r w:rsidRPr="00B41749">
        <w:t>or overlaps. Based on that review, the subject could be addressed through a new standalone IALA Guideline, amendments to existing Guidelines, or a coordinated combination of both.</w:t>
      </w:r>
    </w:p>
    <w:p w14:paraId="3ECF64DD" w14:textId="77777777" w:rsidR="004A4A56" w:rsidRDefault="004A4A56" w:rsidP="004A4A56">
      <w:pPr>
        <w:pStyle w:val="BodyText"/>
      </w:pPr>
      <w:r w:rsidRPr="00B41749">
        <w:t xml:space="preserve">The outcome should build on existing guidance and avoid unnecessary duplication. It could identify </w:t>
      </w:r>
      <w:r>
        <w:t xml:space="preserve">minimum measurement areas and, where justified, a limited set of </w:t>
      </w:r>
      <w:r w:rsidRPr="00B41749">
        <w:t>core indicators</w:t>
      </w:r>
      <w:r>
        <w:t>,</w:t>
      </w:r>
      <w:r w:rsidRPr="00B41749">
        <w:t xml:space="preserve"> and provide </w:t>
      </w:r>
      <w:r>
        <w:t xml:space="preserve">principles for setting locally appropriate targets, thresholds or performance bands where this would </w:t>
      </w:r>
      <w:r w:rsidRPr="00B41749">
        <w:t xml:space="preserve">support consistent </w:t>
      </w:r>
      <w:r>
        <w:t xml:space="preserve">and harmonised </w:t>
      </w:r>
      <w:r w:rsidRPr="00B41749">
        <w:t>implementation</w:t>
      </w:r>
      <w:r>
        <w:t>.</w:t>
      </w:r>
    </w:p>
    <w:p w14:paraId="355D5351" w14:textId="77777777" w:rsidR="004A4A56" w:rsidRPr="00B41749" w:rsidRDefault="004A4A56" w:rsidP="004A4A56">
      <w:pPr>
        <w:pStyle w:val="BodyText"/>
      </w:pPr>
      <w:r w:rsidRPr="00B41749">
        <w:t>The outcome should not:</w:t>
      </w:r>
    </w:p>
    <w:p w14:paraId="58522CE1" w14:textId="77777777" w:rsidR="004A4A56" w:rsidRPr="00B41749" w:rsidRDefault="004A4A56" w:rsidP="004A4A56">
      <w:pPr>
        <w:pStyle w:val="Bullet1"/>
        <w:ind w:left="360" w:hanging="360"/>
        <w:rPr>
          <w:lang w:val="en-US"/>
        </w:rPr>
      </w:pPr>
      <w:r w:rsidRPr="00B41749">
        <w:rPr>
          <w:lang w:val="en-US"/>
        </w:rPr>
        <w:t xml:space="preserve">prescribe universal mandatory numerical targets; </w:t>
      </w:r>
    </w:p>
    <w:p w14:paraId="6390A780" w14:textId="77777777" w:rsidR="004A4A56" w:rsidRPr="00B41749" w:rsidRDefault="004A4A56" w:rsidP="004A4A56">
      <w:pPr>
        <w:pStyle w:val="Bullet1"/>
        <w:ind w:left="360" w:hanging="360"/>
        <w:rPr>
          <w:lang w:val="en-US"/>
        </w:rPr>
      </w:pPr>
      <w:r w:rsidRPr="00B41749">
        <w:rPr>
          <w:lang w:val="en-US"/>
        </w:rPr>
        <w:t xml:space="preserve">replace technical performance requirements in the G1111 series; </w:t>
      </w:r>
    </w:p>
    <w:p w14:paraId="3F76CBB1" w14:textId="77777777" w:rsidR="004A4A56" w:rsidRPr="00B41749" w:rsidRDefault="004A4A56" w:rsidP="004A4A56">
      <w:pPr>
        <w:pStyle w:val="Bullet1"/>
        <w:ind w:left="360" w:hanging="360"/>
        <w:rPr>
          <w:lang w:val="en-US"/>
        </w:rPr>
      </w:pPr>
      <w:r w:rsidRPr="00B41749">
        <w:rPr>
          <w:lang w:val="en-US"/>
        </w:rPr>
        <w:t xml:space="preserve">define performance targets for individual VTS personnel; </w:t>
      </w:r>
    </w:p>
    <w:p w14:paraId="4B71183F" w14:textId="77777777" w:rsidR="004A4A56" w:rsidRPr="007A395D" w:rsidRDefault="004A4A56" w:rsidP="004A4A56">
      <w:pPr>
        <w:pStyle w:val="Heading1"/>
      </w:pPr>
      <w:r w:rsidRPr="007A395D">
        <w:t>Action requested of the Committee</w:t>
      </w:r>
    </w:p>
    <w:p w14:paraId="4CBC05A6" w14:textId="77777777" w:rsidR="004A4A56" w:rsidRDefault="004A4A56" w:rsidP="004A4A56">
      <w:pPr>
        <w:pStyle w:val="BodyText"/>
      </w:pPr>
      <w:r>
        <w:t>The Committee is requested to:</w:t>
      </w:r>
    </w:p>
    <w:p w14:paraId="64318632" w14:textId="77777777" w:rsidR="004A4A56" w:rsidRPr="005B2DE4" w:rsidRDefault="004A4A56" w:rsidP="004A4A56">
      <w:pPr>
        <w:pStyle w:val="List1"/>
        <w:numPr>
          <w:ilvl w:val="0"/>
          <w:numId w:val="16"/>
        </w:numPr>
      </w:pPr>
      <w:r w:rsidRPr="005B2DE4">
        <w:t xml:space="preserve">note the identified need for an integrated and harmonised framework for demonstrating VTS conformity, performance, effectiveness and contribution; and </w:t>
      </w:r>
    </w:p>
    <w:p w14:paraId="5AF624A6" w14:textId="77777777" w:rsidR="004A4A56" w:rsidRDefault="004A4A56" w:rsidP="004A4A56">
      <w:pPr>
        <w:pStyle w:val="List1"/>
        <w:numPr>
          <w:ilvl w:val="0"/>
          <w:numId w:val="16"/>
        </w:numPr>
      </w:pPr>
      <w:r>
        <w:t xml:space="preserve">discuss the issue with a view </w:t>
      </w:r>
      <w:r w:rsidRPr="005B2DE4">
        <w:t xml:space="preserve">to establish a </w:t>
      </w:r>
      <w:r>
        <w:t xml:space="preserve">new </w:t>
      </w:r>
      <w:r w:rsidRPr="005B2DE4">
        <w:t xml:space="preserve">task </w:t>
      </w:r>
      <w:r>
        <w:t>for</w:t>
      </w:r>
      <w:r w:rsidRPr="005B2DE4">
        <w:t xml:space="preserve"> the next Work Programme </w:t>
      </w:r>
      <w:r w:rsidRPr="009B5741">
        <w:t xml:space="preserve">to develop harmonised guidance on demonstrating VTS performance, effectiveness and </w:t>
      </w:r>
      <w:r w:rsidRPr="006E0E10">
        <w:t>contributions</w:t>
      </w:r>
      <w:r>
        <w:t xml:space="preserve"> as described above</w:t>
      </w:r>
    </w:p>
    <w:p w14:paraId="2FE8D124" w14:textId="77777777" w:rsidR="004A4A56" w:rsidRDefault="004A4A56" w:rsidP="004A4A56">
      <w:pPr>
        <w:pStyle w:val="Heading1"/>
      </w:pPr>
      <w:r>
        <w:t>attachments</w:t>
      </w:r>
    </w:p>
    <w:p w14:paraId="11AC2DF2" w14:textId="53B683F9" w:rsidR="004A4A56" w:rsidRDefault="004A4A56" w:rsidP="004A4A56">
      <w:pPr>
        <w:pStyle w:val="List1"/>
        <w:numPr>
          <w:ilvl w:val="0"/>
          <w:numId w:val="74"/>
        </w:numPr>
      </w:pPr>
      <w:r w:rsidRPr="00CE671B">
        <w:t>VTS60-</w:t>
      </w:r>
      <w:r w:rsidR="002329A7">
        <w:t>6.2.3.1</w:t>
      </w:r>
      <w:r w:rsidRPr="00CE671B">
        <w:t xml:space="preserve"> Task proposal - Development of Guidance on Demonstrating VTS Performance, Effectivness and Contribution  </w:t>
      </w:r>
    </w:p>
    <w:p w14:paraId="16AE6650" w14:textId="23783A9E" w:rsidR="004D1D85" w:rsidRPr="007A395D" w:rsidRDefault="004D1D85" w:rsidP="004A4A56">
      <w:pPr>
        <w:pStyle w:val="Title"/>
      </w:pPr>
    </w:p>
    <w:sectPr w:rsidR="004D1D85" w:rsidRPr="007A395D" w:rsidSect="004A4A56">
      <w:headerReference w:type="default" r:id="rId11"/>
      <w:footerReference w:type="default" r:id="rId12"/>
      <w:headerReference w:type="first" r:id="rId13"/>
      <w:footerReference w:type="first" r:id="rId14"/>
      <w:pgSz w:w="11906" w:h="16838"/>
      <w:pgMar w:top="1733" w:right="794" w:bottom="567" w:left="907" w:header="564" w:footer="6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19057" w14:textId="77777777" w:rsidR="00796F8F" w:rsidRDefault="00796F8F" w:rsidP="00362CD9">
      <w:r>
        <w:separator/>
      </w:r>
    </w:p>
  </w:endnote>
  <w:endnote w:type="continuationSeparator" w:id="0">
    <w:p w14:paraId="1B70419E" w14:textId="77777777" w:rsidR="00796F8F" w:rsidRDefault="00796F8F"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50F57210" w:rsidR="004533B7" w:rsidRPr="00C907DF" w:rsidRDefault="00A27C86" w:rsidP="004533B7">
    <w:pPr>
      <w:pStyle w:val="Footerportrait"/>
    </w:pPr>
    <w:r>
      <w:fldChar w:fldCharType="begin"/>
    </w:r>
    <w:r>
      <w:instrText xml:space="preserve"> STYLEREF  Title  \* MERGEFORMAT </w:instrText>
    </w:r>
    <w:r>
      <w:fldChar w:fldCharType="end"/>
    </w:r>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58DF5B05" w:rsidR="00637047" w:rsidRPr="00C907DF" w:rsidRDefault="00A27C86" w:rsidP="00637047">
    <w:pPr>
      <w:pStyle w:val="Footerportrait"/>
    </w:pPr>
    <w:fldSimple w:instr=" STYLEREF  Title  \* MERGEFORMAT ">
      <w:r w:rsidR="006A6110" w:rsidRPr="006A6110">
        <w:rPr>
          <w:b w:val="0"/>
          <w:bCs/>
          <w:lang w:val="fi-FI"/>
        </w:rPr>
        <w:t>DEVELOPMENT OF GUIDANCE ON DEMONSTRATING VTS PERFORMANCE, EFFECTIVENESS AND contribution</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1F04" w14:textId="77777777" w:rsidR="00796F8F" w:rsidRDefault="00796F8F" w:rsidP="00362CD9">
      <w:r>
        <w:separator/>
      </w:r>
    </w:p>
  </w:footnote>
  <w:footnote w:type="continuationSeparator" w:id="0">
    <w:p w14:paraId="11C661B0" w14:textId="77777777" w:rsidR="00796F8F" w:rsidRDefault="00796F8F"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0"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3" w15:restartNumberingAfterBreak="0">
    <w:nsid w:val="67A1540C"/>
    <w:multiLevelType w:val="hybridMultilevel"/>
    <w:tmpl w:val="4124682C"/>
    <w:lvl w:ilvl="0" w:tplc="040B0001">
      <w:start w:val="1"/>
      <w:numFmt w:val="bullet"/>
      <w:lvlText w:val=""/>
      <w:lvlJc w:val="left"/>
      <w:pPr>
        <w:ind w:left="1287" w:hanging="360"/>
      </w:pPr>
      <w:rPr>
        <w:rFonts w:ascii="Symbol" w:hAnsi="Symbo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4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18"/>
  </w:num>
  <w:num w:numId="4" w16cid:durableId="128744143">
    <w:abstractNumId w:val="41"/>
  </w:num>
  <w:num w:numId="5" w16cid:durableId="608465186">
    <w:abstractNumId w:val="31"/>
  </w:num>
  <w:num w:numId="6" w16cid:durableId="464274310">
    <w:abstractNumId w:val="11"/>
  </w:num>
  <w:num w:numId="7" w16cid:durableId="1189950591">
    <w:abstractNumId w:val="45"/>
  </w:num>
  <w:num w:numId="8" w16cid:durableId="1782140707">
    <w:abstractNumId w:val="26"/>
  </w:num>
  <w:num w:numId="9" w16cid:durableId="535049773">
    <w:abstractNumId w:val="20"/>
  </w:num>
  <w:num w:numId="10" w16cid:durableId="1991129612">
    <w:abstractNumId w:val="35"/>
  </w:num>
  <w:num w:numId="11" w16cid:durableId="172032115">
    <w:abstractNumId w:val="34"/>
  </w:num>
  <w:num w:numId="12" w16cid:durableId="283928608">
    <w:abstractNumId w:val="30"/>
  </w:num>
  <w:num w:numId="13" w16cid:durableId="1136068344">
    <w:abstractNumId w:val="42"/>
  </w:num>
  <w:num w:numId="14" w16cid:durableId="836044485">
    <w:abstractNumId w:val="16"/>
  </w:num>
  <w:num w:numId="15" w16cid:durableId="1973170037">
    <w:abstractNumId w:val="49"/>
  </w:num>
  <w:num w:numId="16" w16cid:durableId="583344743">
    <w:abstractNumId w:val="29"/>
  </w:num>
  <w:num w:numId="17" w16cid:durableId="1826819720">
    <w:abstractNumId w:val="17"/>
  </w:num>
  <w:num w:numId="18" w16cid:durableId="1288589041">
    <w:abstractNumId w:val="38"/>
  </w:num>
  <w:num w:numId="19" w16cid:durableId="1298729279">
    <w:abstractNumId w:val="29"/>
  </w:num>
  <w:num w:numId="20" w16cid:durableId="222765610">
    <w:abstractNumId w:val="29"/>
  </w:num>
  <w:num w:numId="21" w16cid:durableId="2043892978">
    <w:abstractNumId w:val="29"/>
  </w:num>
  <w:num w:numId="22" w16cid:durableId="22442958">
    <w:abstractNumId w:val="29"/>
  </w:num>
  <w:num w:numId="23" w16cid:durableId="326136287">
    <w:abstractNumId w:val="39"/>
  </w:num>
  <w:num w:numId="24" w16cid:durableId="879126904">
    <w:abstractNumId w:val="10"/>
  </w:num>
  <w:num w:numId="25" w16cid:durableId="198784432">
    <w:abstractNumId w:val="10"/>
  </w:num>
  <w:num w:numId="26" w16cid:durableId="1793086082">
    <w:abstractNumId w:val="10"/>
  </w:num>
  <w:num w:numId="27" w16cid:durableId="242422396">
    <w:abstractNumId w:val="22"/>
  </w:num>
  <w:num w:numId="28" w16cid:durableId="303579958">
    <w:abstractNumId w:val="22"/>
  </w:num>
  <w:num w:numId="29" w16cid:durableId="1803647004">
    <w:abstractNumId w:val="22"/>
  </w:num>
  <w:num w:numId="30" w16cid:durableId="225920840">
    <w:abstractNumId w:val="22"/>
  </w:num>
  <w:num w:numId="31" w16cid:durableId="675494771">
    <w:abstractNumId w:val="22"/>
  </w:num>
  <w:num w:numId="32" w16cid:durableId="1786805603">
    <w:abstractNumId w:val="22"/>
  </w:num>
  <w:num w:numId="33" w16cid:durableId="1796288016">
    <w:abstractNumId w:val="36"/>
  </w:num>
  <w:num w:numId="34" w16cid:durableId="1923106185">
    <w:abstractNumId w:val="36"/>
  </w:num>
  <w:num w:numId="35" w16cid:durableId="1980181163">
    <w:abstractNumId w:val="36"/>
  </w:num>
  <w:num w:numId="36" w16cid:durableId="589242074">
    <w:abstractNumId w:val="27"/>
  </w:num>
  <w:num w:numId="37" w16cid:durableId="611405404">
    <w:abstractNumId w:val="16"/>
  </w:num>
  <w:num w:numId="38" w16cid:durableId="1417749718">
    <w:abstractNumId w:val="30"/>
  </w:num>
  <w:num w:numId="39" w16cid:durableId="1116218742">
    <w:abstractNumId w:val="29"/>
  </w:num>
  <w:num w:numId="40" w16cid:durableId="15286398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28"/>
  </w:num>
  <w:num w:numId="45" w16cid:durableId="557088546">
    <w:abstractNumId w:val="32"/>
  </w:num>
  <w:num w:numId="46" w16cid:durableId="2058578189">
    <w:abstractNumId w:val="50"/>
  </w:num>
  <w:num w:numId="47" w16cid:durableId="1025714407">
    <w:abstractNumId w:val="13"/>
  </w:num>
  <w:num w:numId="48" w16cid:durableId="1516263518">
    <w:abstractNumId w:val="21"/>
  </w:num>
  <w:num w:numId="49" w16cid:durableId="1874733741">
    <w:abstractNumId w:val="14"/>
  </w:num>
  <w:num w:numId="50" w16cid:durableId="754859345">
    <w:abstractNumId w:val="12"/>
  </w:num>
  <w:num w:numId="51" w16cid:durableId="1256400017">
    <w:abstractNumId w:val="19"/>
  </w:num>
  <w:num w:numId="52" w16cid:durableId="128868047">
    <w:abstractNumId w:val="44"/>
  </w:num>
  <w:num w:numId="53" w16cid:durableId="1952282389">
    <w:abstractNumId w:val="47"/>
  </w:num>
  <w:num w:numId="54" w16cid:durableId="325910954">
    <w:abstractNumId w:val="15"/>
  </w:num>
  <w:num w:numId="55" w16cid:durableId="1093041952">
    <w:abstractNumId w:val="48"/>
  </w:num>
  <w:num w:numId="56" w16cid:durableId="1702247746">
    <w:abstractNumId w:val="40"/>
  </w:num>
  <w:num w:numId="57" w16cid:durableId="1151944309">
    <w:abstractNumId w:val="25"/>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7"/>
  </w:num>
  <w:num w:numId="66" w16cid:durableId="885992133">
    <w:abstractNumId w:val="46"/>
  </w:num>
  <w:num w:numId="67" w16cid:durableId="1411384646">
    <w:abstractNumId w:val="24"/>
  </w:num>
  <w:num w:numId="68" w16cid:durableId="15496870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3"/>
  </w:num>
  <w:num w:numId="70" w16cid:durableId="1891913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3"/>
  </w:num>
  <w:num w:numId="73" w16cid:durableId="197923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09840194">
    <w:abstractNumId w:val="4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105083"/>
    <w:rsid w:val="00110203"/>
    <w:rsid w:val="00110AE7"/>
    <w:rsid w:val="001241C8"/>
    <w:rsid w:val="00177F4D"/>
    <w:rsid w:val="00180DDA"/>
    <w:rsid w:val="001B2A2D"/>
    <w:rsid w:val="001B4004"/>
    <w:rsid w:val="001B737D"/>
    <w:rsid w:val="001C44A3"/>
    <w:rsid w:val="001C77BB"/>
    <w:rsid w:val="001E0E15"/>
    <w:rsid w:val="001F528A"/>
    <w:rsid w:val="001F704E"/>
    <w:rsid w:val="00201722"/>
    <w:rsid w:val="002125B0"/>
    <w:rsid w:val="00221E08"/>
    <w:rsid w:val="002329A7"/>
    <w:rsid w:val="00237D7C"/>
    <w:rsid w:val="00243228"/>
    <w:rsid w:val="00251483"/>
    <w:rsid w:val="00255CAA"/>
    <w:rsid w:val="0025741F"/>
    <w:rsid w:val="00264305"/>
    <w:rsid w:val="00286FEF"/>
    <w:rsid w:val="002A0346"/>
    <w:rsid w:val="002A0929"/>
    <w:rsid w:val="002A4487"/>
    <w:rsid w:val="002B49E9"/>
    <w:rsid w:val="002C632E"/>
    <w:rsid w:val="002D3E8B"/>
    <w:rsid w:val="002D4575"/>
    <w:rsid w:val="002D5C0C"/>
    <w:rsid w:val="002E03D1"/>
    <w:rsid w:val="002E6B74"/>
    <w:rsid w:val="002E6FCA"/>
    <w:rsid w:val="002F4C38"/>
    <w:rsid w:val="003351C4"/>
    <w:rsid w:val="003522A4"/>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046BC"/>
    <w:rsid w:val="0041088C"/>
    <w:rsid w:val="0041230E"/>
    <w:rsid w:val="00420A38"/>
    <w:rsid w:val="00426DB3"/>
    <w:rsid w:val="00431B19"/>
    <w:rsid w:val="004533B7"/>
    <w:rsid w:val="004661AD"/>
    <w:rsid w:val="004A4A56"/>
    <w:rsid w:val="004D1D85"/>
    <w:rsid w:val="004D3C3A"/>
    <w:rsid w:val="004E1CD1"/>
    <w:rsid w:val="004F7616"/>
    <w:rsid w:val="0050690E"/>
    <w:rsid w:val="005107EB"/>
    <w:rsid w:val="0051402F"/>
    <w:rsid w:val="00521345"/>
    <w:rsid w:val="00526DF0"/>
    <w:rsid w:val="00545CC4"/>
    <w:rsid w:val="00551FFF"/>
    <w:rsid w:val="005607A2"/>
    <w:rsid w:val="0057198B"/>
    <w:rsid w:val="00573CFE"/>
    <w:rsid w:val="005969F2"/>
    <w:rsid w:val="00597FAE"/>
    <w:rsid w:val="005A58CB"/>
    <w:rsid w:val="005B32A3"/>
    <w:rsid w:val="005C0D44"/>
    <w:rsid w:val="005C566C"/>
    <w:rsid w:val="005C7E69"/>
    <w:rsid w:val="005E262D"/>
    <w:rsid w:val="005F23D3"/>
    <w:rsid w:val="005F7E20"/>
    <w:rsid w:val="006006B8"/>
    <w:rsid w:val="00605E43"/>
    <w:rsid w:val="006153BB"/>
    <w:rsid w:val="00635ADD"/>
    <w:rsid w:val="00637047"/>
    <w:rsid w:val="006652C3"/>
    <w:rsid w:val="00691FD0"/>
    <w:rsid w:val="00692148"/>
    <w:rsid w:val="006A1A1E"/>
    <w:rsid w:val="006A6110"/>
    <w:rsid w:val="006C5948"/>
    <w:rsid w:val="006E2121"/>
    <w:rsid w:val="006F2A74"/>
    <w:rsid w:val="007118F5"/>
    <w:rsid w:val="00712AA4"/>
    <w:rsid w:val="007146C4"/>
    <w:rsid w:val="00721AA1"/>
    <w:rsid w:val="00724B67"/>
    <w:rsid w:val="007547F8"/>
    <w:rsid w:val="00765622"/>
    <w:rsid w:val="00770B6C"/>
    <w:rsid w:val="00774730"/>
    <w:rsid w:val="00783FEA"/>
    <w:rsid w:val="007926DC"/>
    <w:rsid w:val="00796F8F"/>
    <w:rsid w:val="007A395D"/>
    <w:rsid w:val="007C346C"/>
    <w:rsid w:val="007D63E3"/>
    <w:rsid w:val="0080294B"/>
    <w:rsid w:val="00811F06"/>
    <w:rsid w:val="0082480E"/>
    <w:rsid w:val="00850293"/>
    <w:rsid w:val="00851373"/>
    <w:rsid w:val="00851BA6"/>
    <w:rsid w:val="0085654D"/>
    <w:rsid w:val="00861160"/>
    <w:rsid w:val="00861801"/>
    <w:rsid w:val="0086654F"/>
    <w:rsid w:val="008702A8"/>
    <w:rsid w:val="0087239B"/>
    <w:rsid w:val="00892CA4"/>
    <w:rsid w:val="00894397"/>
    <w:rsid w:val="008A262E"/>
    <w:rsid w:val="008A356F"/>
    <w:rsid w:val="008A3ECA"/>
    <w:rsid w:val="008A4653"/>
    <w:rsid w:val="008A4717"/>
    <w:rsid w:val="008A50CC"/>
    <w:rsid w:val="008D1694"/>
    <w:rsid w:val="008D79CB"/>
    <w:rsid w:val="008E28CC"/>
    <w:rsid w:val="008F07BC"/>
    <w:rsid w:val="00904066"/>
    <w:rsid w:val="0092692B"/>
    <w:rsid w:val="00941AAE"/>
    <w:rsid w:val="00943E9C"/>
    <w:rsid w:val="00953F4D"/>
    <w:rsid w:val="00960BB8"/>
    <w:rsid w:val="00964F5C"/>
    <w:rsid w:val="00973B57"/>
    <w:rsid w:val="009831C0"/>
    <w:rsid w:val="009874F9"/>
    <w:rsid w:val="0099161D"/>
    <w:rsid w:val="009C5F41"/>
    <w:rsid w:val="00A01B17"/>
    <w:rsid w:val="00A028F0"/>
    <w:rsid w:val="00A0389B"/>
    <w:rsid w:val="00A26017"/>
    <w:rsid w:val="00A27C86"/>
    <w:rsid w:val="00A446C9"/>
    <w:rsid w:val="00A56C33"/>
    <w:rsid w:val="00A635D6"/>
    <w:rsid w:val="00A72757"/>
    <w:rsid w:val="00A77F54"/>
    <w:rsid w:val="00A800A9"/>
    <w:rsid w:val="00A8553A"/>
    <w:rsid w:val="00A93AED"/>
    <w:rsid w:val="00AE1319"/>
    <w:rsid w:val="00AE34BB"/>
    <w:rsid w:val="00B0084A"/>
    <w:rsid w:val="00B0520E"/>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05C9"/>
    <w:rsid w:val="00BE46D6"/>
    <w:rsid w:val="00BE700D"/>
    <w:rsid w:val="00BF32F0"/>
    <w:rsid w:val="00BF4DCE"/>
    <w:rsid w:val="00C02DDD"/>
    <w:rsid w:val="00C05CE5"/>
    <w:rsid w:val="00C31114"/>
    <w:rsid w:val="00C52A4D"/>
    <w:rsid w:val="00C6171E"/>
    <w:rsid w:val="00C65DAA"/>
    <w:rsid w:val="00C865DF"/>
    <w:rsid w:val="00CA6F2C"/>
    <w:rsid w:val="00CC79CE"/>
    <w:rsid w:val="00CF1871"/>
    <w:rsid w:val="00D019CE"/>
    <w:rsid w:val="00D1133E"/>
    <w:rsid w:val="00D17A34"/>
    <w:rsid w:val="00D26628"/>
    <w:rsid w:val="00D332B3"/>
    <w:rsid w:val="00D423E5"/>
    <w:rsid w:val="00D55207"/>
    <w:rsid w:val="00D60825"/>
    <w:rsid w:val="00D76DA0"/>
    <w:rsid w:val="00D81801"/>
    <w:rsid w:val="00D91A14"/>
    <w:rsid w:val="00D92B45"/>
    <w:rsid w:val="00D95962"/>
    <w:rsid w:val="00DC389B"/>
    <w:rsid w:val="00DE2FEE"/>
    <w:rsid w:val="00E00BE9"/>
    <w:rsid w:val="00E04761"/>
    <w:rsid w:val="00E22A11"/>
    <w:rsid w:val="00E31E5C"/>
    <w:rsid w:val="00E44DD2"/>
    <w:rsid w:val="00E558C3"/>
    <w:rsid w:val="00E55927"/>
    <w:rsid w:val="00E67021"/>
    <w:rsid w:val="00E912A6"/>
    <w:rsid w:val="00EA4844"/>
    <w:rsid w:val="00EA4D9C"/>
    <w:rsid w:val="00EA5A97"/>
    <w:rsid w:val="00EB75EE"/>
    <w:rsid w:val="00EE4C1D"/>
    <w:rsid w:val="00EF3685"/>
    <w:rsid w:val="00F04350"/>
    <w:rsid w:val="00F133DB"/>
    <w:rsid w:val="00F159EB"/>
    <w:rsid w:val="00F25BF4"/>
    <w:rsid w:val="00F267DB"/>
    <w:rsid w:val="00F34F9B"/>
    <w:rsid w:val="00F46F6F"/>
    <w:rsid w:val="00F60608"/>
    <w:rsid w:val="00F62217"/>
    <w:rsid w:val="00F71ACC"/>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3.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D4D9506A-077E-4413-A6DB-798D7CA808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4</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8</cp:revision>
  <dcterms:created xsi:type="dcterms:W3CDTF">2026-08-21T08:43:00Z</dcterms:created>
  <dcterms:modified xsi:type="dcterms:W3CDTF">2026-08-29T11:35:00Z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